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427" w:rsidRPr="00AE309D" w:rsidRDefault="00285427">
      <w:pPr>
        <w:rPr>
          <w:rFonts w:ascii="Calibri" w:hAnsi="Calibri"/>
          <w:b/>
          <w:sz w:val="28"/>
          <w:szCs w:val="28"/>
        </w:rPr>
      </w:pPr>
      <w:r w:rsidRPr="00AE309D">
        <w:rPr>
          <w:rFonts w:ascii="Calibri" w:hAnsi="Calibri"/>
          <w:b/>
          <w:sz w:val="28"/>
          <w:szCs w:val="28"/>
        </w:rPr>
        <w:t xml:space="preserve">REUMATOIDNI ARTRITIS </w:t>
      </w:r>
    </w:p>
    <w:p w:rsidR="00AE309D" w:rsidRPr="00462C93" w:rsidRDefault="00AE309D">
      <w:pPr>
        <w:rPr>
          <w:rFonts w:ascii="Calibri" w:hAnsi="Calibri"/>
          <w:b/>
        </w:rPr>
      </w:pPr>
    </w:p>
    <w:p w:rsidR="00285427" w:rsidRPr="00462C93" w:rsidRDefault="00224265" w:rsidP="00304599">
      <w:pPr>
        <w:shd w:val="clear" w:color="auto" w:fill="FFFF99"/>
        <w:rPr>
          <w:rFonts w:ascii="Calibri" w:hAnsi="Calibri"/>
        </w:rPr>
      </w:pPr>
      <w:r w:rsidRPr="00AE309D">
        <w:rPr>
          <w:rFonts w:ascii="Calibri" w:hAnsi="Calibri"/>
          <w:b/>
          <w:i/>
          <w:sz w:val="28"/>
          <w:szCs w:val="28"/>
        </w:rPr>
        <w:t>Opće preporuke Hrvatskog</w:t>
      </w:r>
      <w:r w:rsidR="00285427" w:rsidRPr="00AE309D">
        <w:rPr>
          <w:rFonts w:ascii="Calibri" w:hAnsi="Calibri"/>
          <w:b/>
          <w:i/>
          <w:sz w:val="28"/>
          <w:szCs w:val="28"/>
        </w:rPr>
        <w:t xml:space="preserve"> reumatološkog društva </w:t>
      </w:r>
      <w:r w:rsidR="009E690F" w:rsidRPr="00AE309D">
        <w:rPr>
          <w:rFonts w:ascii="Calibri" w:hAnsi="Calibri"/>
          <w:b/>
          <w:i/>
          <w:sz w:val="28"/>
          <w:szCs w:val="28"/>
        </w:rPr>
        <w:t xml:space="preserve">HLZ-a </w:t>
      </w:r>
      <w:r w:rsidR="00285427" w:rsidRPr="00AE309D">
        <w:rPr>
          <w:rFonts w:ascii="Calibri" w:hAnsi="Calibri"/>
          <w:b/>
          <w:i/>
          <w:sz w:val="28"/>
          <w:szCs w:val="28"/>
        </w:rPr>
        <w:t>za liječenje reumatoidnog artritis</w:t>
      </w:r>
      <w:r w:rsidR="009E690F" w:rsidRPr="00AE309D">
        <w:rPr>
          <w:rFonts w:ascii="Calibri" w:hAnsi="Calibri"/>
          <w:b/>
          <w:i/>
          <w:sz w:val="28"/>
          <w:szCs w:val="28"/>
        </w:rPr>
        <w:t>a odraslih bolesnika</w:t>
      </w:r>
      <w:r w:rsidR="009E690F" w:rsidRPr="00462C93">
        <w:rPr>
          <w:rFonts w:ascii="Calibri" w:hAnsi="Calibri"/>
          <w:b/>
          <w:i/>
        </w:rPr>
        <w:t xml:space="preserve"> </w:t>
      </w:r>
      <w:r w:rsidR="00285427" w:rsidRPr="00462C93">
        <w:rPr>
          <w:rFonts w:ascii="Calibri" w:hAnsi="Calibri"/>
        </w:rPr>
        <w:t>(</w:t>
      </w:r>
      <w:r w:rsidR="001B2B42">
        <w:rPr>
          <w:rFonts w:ascii="Calibri" w:hAnsi="Calibri"/>
        </w:rPr>
        <w:t xml:space="preserve">modificirano prema </w:t>
      </w:r>
      <w:r w:rsidR="00285427" w:rsidRPr="00462C93">
        <w:rPr>
          <w:rFonts w:ascii="Calibri" w:hAnsi="Calibri"/>
        </w:rPr>
        <w:t>Reumatizam 201</w:t>
      </w:r>
      <w:r w:rsidR="000A1021">
        <w:rPr>
          <w:rFonts w:ascii="Calibri" w:hAnsi="Calibri"/>
        </w:rPr>
        <w:t>3</w:t>
      </w:r>
      <w:r w:rsidR="00285427" w:rsidRPr="00462C93">
        <w:rPr>
          <w:rFonts w:ascii="Calibri" w:hAnsi="Calibri"/>
        </w:rPr>
        <w:t xml:space="preserve">; </w:t>
      </w:r>
      <w:r w:rsidR="000A1021">
        <w:rPr>
          <w:rFonts w:ascii="Calibri" w:hAnsi="Calibri"/>
        </w:rPr>
        <w:t>60</w:t>
      </w:r>
      <w:r w:rsidR="00285427" w:rsidRPr="00462C93">
        <w:rPr>
          <w:rFonts w:ascii="Calibri" w:hAnsi="Calibri"/>
        </w:rPr>
        <w:t xml:space="preserve">: </w:t>
      </w:r>
      <w:r w:rsidR="000A1021">
        <w:rPr>
          <w:rFonts w:ascii="Calibri" w:hAnsi="Calibri"/>
        </w:rPr>
        <w:t>49-51</w:t>
      </w:r>
      <w:r w:rsidR="00285427" w:rsidRPr="00462C93">
        <w:rPr>
          <w:rFonts w:ascii="Calibri" w:hAnsi="Calibri"/>
        </w:rPr>
        <w:t>).</w:t>
      </w:r>
    </w:p>
    <w:p w:rsidR="00B059E8" w:rsidRPr="00462C93" w:rsidRDefault="00B059E8">
      <w:pPr>
        <w:rPr>
          <w:rFonts w:ascii="Calibri" w:hAnsi="Calibri"/>
        </w:rPr>
      </w:pPr>
    </w:p>
    <w:tbl>
      <w:tblPr>
        <w:tblStyle w:val="TableGrid"/>
        <w:tblW w:w="0" w:type="auto"/>
        <w:tblLook w:val="01E0"/>
      </w:tblPr>
      <w:tblGrid>
        <w:gridCol w:w="4644"/>
        <w:gridCol w:w="4644"/>
      </w:tblGrid>
      <w:tr w:rsidR="00B059E8" w:rsidRPr="00462C93" w:rsidTr="009E690F">
        <w:tc>
          <w:tcPr>
            <w:tcW w:w="4644" w:type="dxa"/>
          </w:tcPr>
          <w:p w:rsidR="00B059E8" w:rsidRPr="00462C93" w:rsidRDefault="006F3EA0">
            <w:pPr>
              <w:rPr>
                <w:rFonts w:ascii="Calibri" w:hAnsi="Calibri"/>
                <w:b/>
              </w:rPr>
            </w:pPr>
            <w:r w:rsidRPr="00462C93">
              <w:rPr>
                <w:rFonts w:ascii="Calibri" w:hAnsi="Calibri"/>
                <w:b/>
              </w:rPr>
              <w:t xml:space="preserve">Parametar </w:t>
            </w:r>
          </w:p>
        </w:tc>
        <w:tc>
          <w:tcPr>
            <w:tcW w:w="4644" w:type="dxa"/>
          </w:tcPr>
          <w:p w:rsidR="00B059E8" w:rsidRPr="00462C93" w:rsidRDefault="00B059E8">
            <w:pPr>
              <w:rPr>
                <w:rFonts w:ascii="Calibri" w:hAnsi="Calibri"/>
                <w:b/>
              </w:rPr>
            </w:pPr>
            <w:r w:rsidRPr="00462C93">
              <w:rPr>
                <w:rFonts w:ascii="Calibri" w:hAnsi="Calibri"/>
                <w:b/>
              </w:rPr>
              <w:t xml:space="preserve">Instrument 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285427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Dijagnoza RA</w:t>
            </w:r>
          </w:p>
        </w:tc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ACR/EULAR kriteriji </w:t>
            </w:r>
            <w:r w:rsidR="006316E8">
              <w:rPr>
                <w:rFonts w:ascii="Calibri" w:hAnsi="Calibri"/>
              </w:rPr>
              <w:t>2010.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Aktivnost bolesti </w:t>
            </w:r>
          </w:p>
        </w:tc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DAS28 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Funkcionalni status</w:t>
            </w:r>
          </w:p>
        </w:tc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HAQ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Terapija</w:t>
            </w:r>
          </w:p>
        </w:tc>
        <w:tc>
          <w:tcPr>
            <w:tcW w:w="4644" w:type="dxa"/>
          </w:tcPr>
          <w:p w:rsidR="00B059E8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M</w:t>
            </w:r>
            <w:r w:rsidR="00153B46" w:rsidRPr="00462C93">
              <w:rPr>
                <w:rFonts w:ascii="Calibri" w:hAnsi="Calibri"/>
              </w:rPr>
              <w:t>etotreksat, le</w:t>
            </w:r>
            <w:r w:rsidR="00A0567A">
              <w:rPr>
                <w:rFonts w:ascii="Calibri" w:hAnsi="Calibri"/>
              </w:rPr>
              <w:t>flunomid, sulfasalazin, antimalarik</w:t>
            </w:r>
            <w:r w:rsidR="00153B46" w:rsidRPr="00462C93">
              <w:rPr>
                <w:rFonts w:ascii="Calibri" w:hAnsi="Calibri"/>
              </w:rPr>
              <w:t>, glukokortikoidi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Ocjena djelotvornosti</w:t>
            </w:r>
          </w:p>
        </w:tc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Svaka 3 mjeseca </w:t>
            </w:r>
            <w:r w:rsidR="00153B46" w:rsidRPr="00462C93">
              <w:rPr>
                <w:rFonts w:ascii="Calibri" w:hAnsi="Calibri"/>
              </w:rPr>
              <w:t>uz prilagodbu strategije</w:t>
            </w:r>
          </w:p>
        </w:tc>
      </w:tr>
      <w:tr w:rsidR="00285427" w:rsidRPr="00462C93" w:rsidTr="009E690F"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Očekivani ishod</w:t>
            </w:r>
          </w:p>
        </w:tc>
        <w:tc>
          <w:tcPr>
            <w:tcW w:w="4644" w:type="dxa"/>
          </w:tcPr>
          <w:p w:rsidR="00285427" w:rsidRPr="00462C93" w:rsidRDefault="00B059E8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DAS28≤3.2 nakon 6 mjeseci </w:t>
            </w:r>
          </w:p>
        </w:tc>
      </w:tr>
      <w:tr w:rsidR="00B059E8" w:rsidRPr="00462C93" w:rsidTr="009E690F">
        <w:tc>
          <w:tcPr>
            <w:tcW w:w="9288" w:type="dxa"/>
            <w:gridSpan w:val="2"/>
          </w:tcPr>
          <w:p w:rsidR="00B059E8" w:rsidRPr="00462C93" w:rsidRDefault="00B059E8" w:rsidP="006F3EA0">
            <w:pPr>
              <w:jc w:val="center"/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Izostanak očekivanog učinka nalaže promjenu terapijske strategije</w:t>
            </w:r>
          </w:p>
        </w:tc>
      </w:tr>
      <w:tr w:rsidR="006F3EA0" w:rsidRPr="00462C93" w:rsidTr="009E690F">
        <w:tc>
          <w:tcPr>
            <w:tcW w:w="9288" w:type="dxa"/>
            <w:gridSpan w:val="2"/>
          </w:tcPr>
          <w:p w:rsidR="006F3EA0" w:rsidRPr="00462C93" w:rsidRDefault="006F3EA0" w:rsidP="00AE309D">
            <w:pPr>
              <w:jc w:val="center"/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TNF</w:t>
            </w:r>
            <w:r w:rsidR="006316E8">
              <w:rPr>
                <w:rFonts w:ascii="Calibri" w:hAnsi="Calibri"/>
              </w:rPr>
              <w:t xml:space="preserve">-α </w:t>
            </w:r>
            <w:r w:rsidR="00AE309D">
              <w:rPr>
                <w:rFonts w:ascii="Calibri" w:hAnsi="Calibri"/>
              </w:rPr>
              <w:t xml:space="preserve">inhibitori </w:t>
            </w:r>
            <w:r w:rsidR="006316E8">
              <w:rPr>
                <w:rFonts w:ascii="Calibri" w:hAnsi="Calibri"/>
              </w:rPr>
              <w:t xml:space="preserve">ili </w:t>
            </w:r>
            <w:r w:rsidR="00AE309D">
              <w:rPr>
                <w:rFonts w:ascii="Calibri" w:hAnsi="Calibri"/>
              </w:rPr>
              <w:t>tocilizumab</w:t>
            </w:r>
            <w:r w:rsidRPr="00462C93">
              <w:rPr>
                <w:rFonts w:ascii="Calibri" w:hAnsi="Calibri"/>
              </w:rPr>
              <w:t xml:space="preserve"> prema  preporukama</w:t>
            </w:r>
            <w:r w:rsidR="000A1021">
              <w:rPr>
                <w:rFonts w:ascii="Calibri" w:hAnsi="Calibri"/>
              </w:rPr>
              <w:t xml:space="preserve"> za primjenu bioloških lijekova</w:t>
            </w:r>
            <w:r w:rsidR="00AE309D">
              <w:rPr>
                <w:rFonts w:ascii="Calibri" w:hAnsi="Calibri"/>
              </w:rPr>
              <w:t>*</w:t>
            </w:r>
          </w:p>
        </w:tc>
      </w:tr>
      <w:tr w:rsidR="006F3EA0" w:rsidRPr="00462C93" w:rsidTr="009E690F">
        <w:tc>
          <w:tcPr>
            <w:tcW w:w="9288" w:type="dxa"/>
            <w:gridSpan w:val="2"/>
          </w:tcPr>
          <w:p w:rsidR="006F3EA0" w:rsidRPr="00462C93" w:rsidRDefault="006F3EA0" w:rsidP="006F3EA0">
            <w:pPr>
              <w:jc w:val="center"/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Izostanak očekivanog učinka nalaže promjenu terapijske strategije</w:t>
            </w:r>
          </w:p>
        </w:tc>
      </w:tr>
      <w:tr w:rsidR="006F3EA0" w:rsidRPr="00462C93" w:rsidTr="009E690F">
        <w:tc>
          <w:tcPr>
            <w:tcW w:w="9288" w:type="dxa"/>
            <w:gridSpan w:val="2"/>
          </w:tcPr>
          <w:p w:rsidR="006F3EA0" w:rsidRPr="00462C93" w:rsidRDefault="006F3EA0" w:rsidP="00AE309D">
            <w:pPr>
              <w:jc w:val="center"/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 xml:space="preserve">Drugi </w:t>
            </w:r>
            <w:r w:rsidR="00AE309D" w:rsidRPr="00462C93">
              <w:rPr>
                <w:rFonts w:ascii="Calibri" w:hAnsi="Calibri"/>
              </w:rPr>
              <w:t>TNF</w:t>
            </w:r>
            <w:r w:rsidR="00AE309D">
              <w:rPr>
                <w:rFonts w:ascii="Calibri" w:hAnsi="Calibri"/>
              </w:rPr>
              <w:t xml:space="preserve">-α </w:t>
            </w:r>
            <w:r w:rsidRPr="00462C93">
              <w:rPr>
                <w:rFonts w:ascii="Calibri" w:hAnsi="Calibri"/>
              </w:rPr>
              <w:t>inhibitor ili tocilizumab ili rituksimab</w:t>
            </w:r>
            <w:r w:rsidR="000A1021">
              <w:rPr>
                <w:rFonts w:ascii="Calibri" w:hAnsi="Calibri"/>
              </w:rPr>
              <w:t xml:space="preserve"> prema preporukam</w:t>
            </w:r>
            <w:r w:rsidR="006316E8">
              <w:rPr>
                <w:rFonts w:ascii="Calibri" w:hAnsi="Calibri"/>
              </w:rPr>
              <w:t>a za primjenu bioloških lijekova</w:t>
            </w:r>
            <w:r w:rsidR="00AE309D">
              <w:rPr>
                <w:rFonts w:ascii="Calibri" w:hAnsi="Calibri"/>
              </w:rPr>
              <w:t>*</w:t>
            </w:r>
          </w:p>
        </w:tc>
      </w:tr>
      <w:tr w:rsidR="00153B46" w:rsidRPr="00462C93" w:rsidTr="009E690F">
        <w:tc>
          <w:tcPr>
            <w:tcW w:w="4644" w:type="dxa"/>
          </w:tcPr>
          <w:p w:rsidR="00153B46" w:rsidRPr="00462C93" w:rsidRDefault="00153B46" w:rsidP="00153B46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Konačni cilj liječenja</w:t>
            </w:r>
          </w:p>
        </w:tc>
        <w:tc>
          <w:tcPr>
            <w:tcW w:w="4644" w:type="dxa"/>
          </w:tcPr>
          <w:p w:rsidR="00153B46" w:rsidRPr="00462C93" w:rsidRDefault="00153B46" w:rsidP="00153B46">
            <w:pPr>
              <w:rPr>
                <w:rFonts w:ascii="Calibri" w:hAnsi="Calibri"/>
              </w:rPr>
            </w:pPr>
            <w:r w:rsidRPr="00462C93">
              <w:rPr>
                <w:rFonts w:ascii="Calibri" w:hAnsi="Calibri"/>
              </w:rPr>
              <w:t>Remisija</w:t>
            </w:r>
          </w:p>
        </w:tc>
      </w:tr>
    </w:tbl>
    <w:p w:rsidR="00CA5027" w:rsidRDefault="00CA5027" w:rsidP="00CA5027">
      <w:pPr>
        <w:rPr>
          <w:rFonts w:ascii="Calibri" w:hAnsi="Calibri"/>
          <w:sz w:val="20"/>
          <w:szCs w:val="20"/>
          <w:lang w:val="it-IT"/>
        </w:rPr>
      </w:pPr>
      <w:r w:rsidRPr="001E6367">
        <w:rPr>
          <w:rFonts w:ascii="Calibri" w:hAnsi="Calibri" w:cs="Arial"/>
          <w:sz w:val="20"/>
          <w:szCs w:val="20"/>
          <w:lang w:val="it-IT"/>
        </w:rPr>
        <w:t xml:space="preserve">DAS28 - </w:t>
      </w:r>
      <w:r w:rsidRPr="001E6367">
        <w:rPr>
          <w:rFonts w:ascii="Calibri" w:hAnsi="Calibri" w:cs="Arial"/>
          <w:sz w:val="20"/>
          <w:szCs w:val="20"/>
          <w:lang w:val="it-IT"/>
        </w:rPr>
        <w:tab/>
        <w:t>Disease Activity Score (ocjena aktivnosti bolesti na 28 zglobova)</w:t>
      </w:r>
      <w:r>
        <w:rPr>
          <w:rFonts w:ascii="Calibri" w:hAnsi="Calibri" w:cs="Arial"/>
          <w:sz w:val="20"/>
          <w:szCs w:val="20"/>
          <w:lang w:val="it-IT"/>
        </w:rPr>
        <w:t xml:space="preserve">; </w:t>
      </w:r>
      <w:r w:rsidRPr="001E6367">
        <w:rPr>
          <w:rFonts w:ascii="Calibri" w:hAnsi="Calibri"/>
          <w:sz w:val="20"/>
          <w:szCs w:val="20"/>
          <w:lang w:val="it-IT"/>
        </w:rPr>
        <w:t>DMARD – Disease Modifying AntiRheumatic Drug</w:t>
      </w:r>
      <w:r>
        <w:rPr>
          <w:rFonts w:ascii="Calibri" w:hAnsi="Calibri"/>
          <w:sz w:val="20"/>
          <w:szCs w:val="20"/>
          <w:lang w:val="it-IT"/>
        </w:rPr>
        <w:t xml:space="preserve">; HAQ - </w:t>
      </w:r>
      <w:r w:rsidRPr="001E6367">
        <w:rPr>
          <w:rFonts w:ascii="Calibri" w:hAnsi="Calibri"/>
          <w:sz w:val="20"/>
          <w:szCs w:val="20"/>
          <w:lang w:val="it-IT"/>
        </w:rPr>
        <w:t xml:space="preserve">Health assesment Questionaire </w:t>
      </w:r>
    </w:p>
    <w:p w:rsidR="00285427" w:rsidRDefault="00285427">
      <w:pPr>
        <w:rPr>
          <w:rFonts w:ascii="Calibri" w:hAnsi="Calibri"/>
        </w:rPr>
      </w:pPr>
    </w:p>
    <w:p w:rsidR="00214D19" w:rsidRPr="00AE309D" w:rsidRDefault="00AE309D">
      <w:pPr>
        <w:rPr>
          <w:rFonts w:ascii="Calibri" w:hAnsi="Calibri"/>
          <w:b/>
        </w:rPr>
      </w:pPr>
      <w:r w:rsidRPr="00AE309D">
        <w:rPr>
          <w:rFonts w:ascii="Calibri" w:hAnsi="Calibri"/>
          <w:b/>
        </w:rPr>
        <w:t>*</w:t>
      </w:r>
      <w:r w:rsidR="008E7F8E" w:rsidRPr="00AE309D">
        <w:rPr>
          <w:rFonts w:ascii="Calibri" w:hAnsi="Calibri"/>
          <w:b/>
        </w:rPr>
        <w:t>Biološki lijekovi za lij</w:t>
      </w:r>
      <w:r w:rsidR="00B240CD" w:rsidRPr="00AE309D">
        <w:rPr>
          <w:rFonts w:ascii="Calibri" w:hAnsi="Calibri"/>
          <w:b/>
        </w:rPr>
        <w:t>ečenj</w:t>
      </w:r>
      <w:r w:rsidR="009B6D93">
        <w:rPr>
          <w:rFonts w:ascii="Calibri" w:hAnsi="Calibri"/>
          <w:b/>
        </w:rPr>
        <w:t>e</w:t>
      </w:r>
      <w:r w:rsidR="00B240CD" w:rsidRPr="00AE309D">
        <w:rPr>
          <w:rFonts w:ascii="Calibri" w:hAnsi="Calibri"/>
          <w:b/>
        </w:rPr>
        <w:t xml:space="preserve"> RA odobreni u Hrvatskoj:</w:t>
      </w:r>
    </w:p>
    <w:p w:rsidR="006316E8" w:rsidRDefault="00214D19">
      <w:pPr>
        <w:rPr>
          <w:rFonts w:ascii="Calibri" w:hAnsi="Calibri"/>
        </w:rPr>
      </w:pPr>
      <w:r>
        <w:rPr>
          <w:rFonts w:ascii="Calibri" w:hAnsi="Calibri"/>
        </w:rPr>
        <w:t>I</w:t>
      </w:r>
      <w:r w:rsidR="006316E8">
        <w:rPr>
          <w:rFonts w:ascii="Calibri" w:hAnsi="Calibri"/>
        </w:rPr>
        <w:t xml:space="preserve">nhibitori </w:t>
      </w:r>
      <w:r>
        <w:rPr>
          <w:rFonts w:ascii="Calibri" w:hAnsi="Calibri"/>
        </w:rPr>
        <w:t>TNF-α</w:t>
      </w:r>
      <w:r w:rsidR="006316E8">
        <w:rPr>
          <w:rFonts w:ascii="Calibri" w:hAnsi="Calibri"/>
        </w:rPr>
        <w:t xml:space="preserve"> </w:t>
      </w:r>
    </w:p>
    <w:p w:rsidR="008E7F8E" w:rsidRDefault="009B6D93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Humira® (a</w:t>
      </w:r>
      <w:r w:rsidR="007C7414">
        <w:rPr>
          <w:rFonts w:ascii="Calibri" w:hAnsi="Calibri"/>
        </w:rPr>
        <w:t>dalimumab</w:t>
      </w:r>
      <w:r>
        <w:rPr>
          <w:rFonts w:ascii="Calibri" w:hAnsi="Calibri"/>
        </w:rPr>
        <w:t>)</w:t>
      </w:r>
      <w:r w:rsidR="00AE72FE">
        <w:rPr>
          <w:rFonts w:ascii="Calibri" w:hAnsi="Calibri"/>
        </w:rPr>
        <w:tab/>
      </w:r>
    </w:p>
    <w:p w:rsidR="008E7F8E" w:rsidRDefault="00AE72FE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Cimzia®</w:t>
      </w:r>
      <w:r w:rsidR="009B6D93" w:rsidRPr="009B6D93">
        <w:rPr>
          <w:rFonts w:ascii="Calibri" w:hAnsi="Calibri"/>
        </w:rPr>
        <w:t xml:space="preserve"> </w:t>
      </w:r>
      <w:r w:rsidR="009B6D93">
        <w:rPr>
          <w:rFonts w:ascii="Calibri" w:hAnsi="Calibri"/>
        </w:rPr>
        <w:t>(certolizumab)</w:t>
      </w:r>
    </w:p>
    <w:p w:rsidR="008E7F8E" w:rsidRDefault="009B6D93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Enbrel® (e</w:t>
      </w:r>
      <w:r w:rsidR="007C7414">
        <w:rPr>
          <w:rFonts w:ascii="Calibri" w:hAnsi="Calibri"/>
        </w:rPr>
        <w:t>tanercept</w:t>
      </w:r>
      <w:r>
        <w:rPr>
          <w:rFonts w:ascii="Calibri" w:hAnsi="Calibri"/>
        </w:rPr>
        <w:t>)</w:t>
      </w:r>
    </w:p>
    <w:p w:rsidR="008E7F8E" w:rsidRDefault="009B6D93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Simponi® (g</w:t>
      </w:r>
      <w:r w:rsidR="007C7414">
        <w:rPr>
          <w:rFonts w:ascii="Calibri" w:hAnsi="Calibri"/>
        </w:rPr>
        <w:t>olimumab</w:t>
      </w:r>
      <w:r>
        <w:rPr>
          <w:rFonts w:ascii="Calibri" w:hAnsi="Calibri"/>
        </w:rPr>
        <w:t>)</w:t>
      </w:r>
      <w:r w:rsidR="00AE72FE">
        <w:rPr>
          <w:rFonts w:ascii="Calibri" w:hAnsi="Calibri"/>
        </w:rPr>
        <w:t xml:space="preserve"> </w:t>
      </w:r>
    </w:p>
    <w:p w:rsidR="008E7F8E" w:rsidRDefault="00AE72FE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Remicade®, Inflectra</w:t>
      </w:r>
      <w:r w:rsidR="00B8592D">
        <w:rPr>
          <w:rFonts w:ascii="Calibri" w:hAnsi="Calibri"/>
        </w:rPr>
        <w:t>™</w:t>
      </w:r>
      <w:r>
        <w:rPr>
          <w:rFonts w:ascii="Calibri" w:hAnsi="Calibri"/>
        </w:rPr>
        <w:t>, Remsima</w:t>
      </w:r>
      <w:r w:rsidR="00B8592D">
        <w:rPr>
          <w:rFonts w:ascii="Calibri" w:hAnsi="Calibri"/>
        </w:rPr>
        <w:t>™</w:t>
      </w:r>
      <w:r>
        <w:rPr>
          <w:rFonts w:ascii="Calibri" w:hAnsi="Calibri"/>
        </w:rPr>
        <w:t xml:space="preserve"> </w:t>
      </w:r>
      <w:r w:rsidR="009B6D93">
        <w:rPr>
          <w:rFonts w:ascii="Calibri" w:hAnsi="Calibri"/>
        </w:rPr>
        <w:t>(infliksimab)</w:t>
      </w:r>
    </w:p>
    <w:p w:rsidR="007C7414" w:rsidRDefault="00214D19">
      <w:pPr>
        <w:rPr>
          <w:rFonts w:ascii="Calibri" w:hAnsi="Calibri"/>
        </w:rPr>
      </w:pPr>
      <w:r>
        <w:rPr>
          <w:rFonts w:ascii="Calibri" w:hAnsi="Calibri"/>
        </w:rPr>
        <w:t>Inhibitor</w:t>
      </w:r>
      <w:r w:rsidRPr="00214D19">
        <w:rPr>
          <w:rFonts w:ascii="Calibri" w:hAnsi="Calibri"/>
        </w:rPr>
        <w:t xml:space="preserve"> </w:t>
      </w:r>
      <w:r w:rsidR="00AE309D">
        <w:rPr>
          <w:rFonts w:ascii="Calibri" w:hAnsi="Calibri"/>
        </w:rPr>
        <w:t>IL-6</w:t>
      </w:r>
    </w:p>
    <w:p w:rsidR="008E7F8E" w:rsidRDefault="009B6D93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RoActemra® (t</w:t>
      </w:r>
      <w:r w:rsidR="007C7414">
        <w:rPr>
          <w:rFonts w:ascii="Calibri" w:hAnsi="Calibri"/>
        </w:rPr>
        <w:t>ocilizumab</w:t>
      </w:r>
      <w:r>
        <w:rPr>
          <w:rFonts w:ascii="Calibri" w:hAnsi="Calibri"/>
        </w:rPr>
        <w:t>)</w:t>
      </w:r>
      <w:r w:rsidR="00AE72FE">
        <w:rPr>
          <w:rFonts w:ascii="Calibri" w:hAnsi="Calibri"/>
        </w:rPr>
        <w:t xml:space="preserve"> </w:t>
      </w:r>
    </w:p>
    <w:p w:rsidR="007C7414" w:rsidRDefault="00214D19">
      <w:pPr>
        <w:rPr>
          <w:rFonts w:ascii="Calibri" w:hAnsi="Calibri"/>
        </w:rPr>
      </w:pPr>
      <w:r>
        <w:rPr>
          <w:rFonts w:ascii="Calibri" w:hAnsi="Calibri"/>
        </w:rPr>
        <w:t xml:space="preserve">Inhibitori </w:t>
      </w:r>
      <w:r w:rsidR="007C7414">
        <w:rPr>
          <w:rFonts w:ascii="Calibri" w:hAnsi="Calibri"/>
        </w:rPr>
        <w:t>B limfocita (anti</w:t>
      </w:r>
      <w:r>
        <w:rPr>
          <w:rFonts w:ascii="Calibri" w:hAnsi="Calibri"/>
        </w:rPr>
        <w:t xml:space="preserve"> </w:t>
      </w:r>
      <w:r w:rsidR="007C7414">
        <w:rPr>
          <w:rFonts w:ascii="Calibri" w:hAnsi="Calibri"/>
        </w:rPr>
        <w:t>- CD20</w:t>
      </w:r>
      <w:r w:rsidR="00AE309D">
        <w:rPr>
          <w:rFonts w:ascii="Calibri" w:hAnsi="Calibri"/>
        </w:rPr>
        <w:t>)</w:t>
      </w:r>
    </w:p>
    <w:p w:rsidR="008E7F8E" w:rsidRDefault="00AE72FE" w:rsidP="008E7F8E">
      <w:pPr>
        <w:ind w:firstLine="708"/>
        <w:rPr>
          <w:rFonts w:ascii="Calibri" w:hAnsi="Calibri"/>
        </w:rPr>
      </w:pPr>
      <w:r>
        <w:rPr>
          <w:rFonts w:ascii="Calibri" w:hAnsi="Calibri"/>
        </w:rPr>
        <w:t>Mabthera®</w:t>
      </w:r>
      <w:r w:rsidR="009B6D93" w:rsidRPr="009B6D93">
        <w:rPr>
          <w:rFonts w:ascii="Calibri" w:hAnsi="Calibri"/>
        </w:rPr>
        <w:t xml:space="preserve"> </w:t>
      </w:r>
      <w:r w:rsidR="009B6D93">
        <w:rPr>
          <w:rFonts w:ascii="Calibri" w:hAnsi="Calibri"/>
        </w:rPr>
        <w:t xml:space="preserve"> (rituksimab)</w:t>
      </w:r>
    </w:p>
    <w:p w:rsidR="009E690F" w:rsidRPr="00462C93" w:rsidRDefault="009E690F" w:rsidP="00224265">
      <w:pPr>
        <w:rPr>
          <w:rFonts w:ascii="Calibri" w:hAnsi="Calibri"/>
          <w:b/>
          <w:i/>
        </w:rPr>
      </w:pPr>
    </w:p>
    <w:p w:rsidR="009E690F" w:rsidRPr="00462C93" w:rsidRDefault="009E690F" w:rsidP="00224265">
      <w:pPr>
        <w:rPr>
          <w:rFonts w:ascii="Calibri" w:hAnsi="Calibri"/>
          <w:b/>
          <w:i/>
        </w:rPr>
      </w:pPr>
    </w:p>
    <w:p w:rsidR="009E690F" w:rsidRPr="00462C93" w:rsidRDefault="009E690F" w:rsidP="00224265">
      <w:pPr>
        <w:rPr>
          <w:rFonts w:ascii="Calibri" w:hAnsi="Calibri"/>
          <w:b/>
          <w:i/>
        </w:rPr>
      </w:pPr>
    </w:p>
    <w:p w:rsidR="009E690F" w:rsidRDefault="009E690F" w:rsidP="00224265">
      <w:pPr>
        <w:rPr>
          <w:rFonts w:ascii="Calibri" w:hAnsi="Calibri"/>
          <w:b/>
          <w:i/>
        </w:rPr>
      </w:pPr>
    </w:p>
    <w:p w:rsidR="00AE309D" w:rsidRDefault="00AE309D" w:rsidP="00224265">
      <w:pPr>
        <w:rPr>
          <w:rFonts w:ascii="Calibri" w:hAnsi="Calibri"/>
          <w:b/>
          <w:i/>
        </w:rPr>
      </w:pPr>
    </w:p>
    <w:p w:rsidR="00AE309D" w:rsidRDefault="00AE309D" w:rsidP="00224265">
      <w:pPr>
        <w:rPr>
          <w:rFonts w:ascii="Calibri" w:hAnsi="Calibri"/>
          <w:b/>
          <w:i/>
        </w:rPr>
      </w:pPr>
    </w:p>
    <w:p w:rsidR="00AE309D" w:rsidRDefault="00AE309D" w:rsidP="00224265">
      <w:pPr>
        <w:rPr>
          <w:rFonts w:ascii="Calibri" w:hAnsi="Calibri"/>
          <w:b/>
          <w:i/>
        </w:rPr>
      </w:pPr>
    </w:p>
    <w:p w:rsidR="00CB7A82" w:rsidRDefault="00CB7A82" w:rsidP="00224265">
      <w:pPr>
        <w:rPr>
          <w:rFonts w:ascii="Calibri" w:hAnsi="Calibri"/>
          <w:b/>
          <w:i/>
        </w:rPr>
      </w:pPr>
    </w:p>
    <w:p w:rsidR="00AE309D" w:rsidRPr="00462C93" w:rsidRDefault="00AE309D" w:rsidP="00224265">
      <w:pPr>
        <w:rPr>
          <w:rFonts w:ascii="Calibri" w:hAnsi="Calibri"/>
          <w:b/>
          <w:i/>
        </w:rPr>
      </w:pPr>
    </w:p>
    <w:p w:rsidR="00443B5A" w:rsidRPr="00462C93" w:rsidRDefault="00443B5A">
      <w:pPr>
        <w:rPr>
          <w:rFonts w:ascii="Calibri" w:hAnsi="Calibri"/>
        </w:rPr>
      </w:pPr>
    </w:p>
    <w:p w:rsidR="00CA5027" w:rsidRDefault="00CA5027" w:rsidP="001E6367">
      <w:pPr>
        <w:rPr>
          <w:rFonts w:ascii="Calibri" w:hAnsi="Calibri"/>
          <w:sz w:val="20"/>
          <w:szCs w:val="20"/>
          <w:lang w:val="it-IT"/>
        </w:rPr>
      </w:pPr>
    </w:p>
    <w:p w:rsidR="00CA5027" w:rsidRPr="00CB7A82" w:rsidRDefault="00CA5027" w:rsidP="00AE309D">
      <w:pPr>
        <w:shd w:val="clear" w:color="auto" w:fill="FFFF99"/>
        <w:rPr>
          <w:rFonts w:ascii="Calibri" w:hAnsi="Calibri"/>
          <w:i/>
          <w:sz w:val="20"/>
          <w:szCs w:val="20"/>
        </w:rPr>
      </w:pPr>
      <w:r w:rsidRPr="00CB7A82">
        <w:rPr>
          <w:rFonts w:ascii="Calibri" w:hAnsi="Calibri"/>
          <w:b/>
          <w:i/>
        </w:rPr>
        <w:lastRenderedPageBreak/>
        <w:t>Preporuke Hrvatskog reumatološkog društva Hrvatskog liječničkog zbora za primjenu bioloških lijekova</w:t>
      </w:r>
      <w:r w:rsidR="008D766B" w:rsidRPr="00CB7A82">
        <w:rPr>
          <w:rFonts w:ascii="Calibri" w:hAnsi="Calibri"/>
          <w:b/>
          <w:i/>
        </w:rPr>
        <w:t>*</w:t>
      </w:r>
      <w:r w:rsidRPr="00CB7A82">
        <w:rPr>
          <w:rFonts w:ascii="Calibri" w:hAnsi="Calibri"/>
          <w:b/>
          <w:i/>
        </w:rPr>
        <w:t xml:space="preserve"> kod reumatoidnog artritisa odraslih bolesnika </w:t>
      </w:r>
      <w:r w:rsidRPr="00CB7A82">
        <w:rPr>
          <w:rFonts w:ascii="Calibri" w:hAnsi="Calibri"/>
        </w:rPr>
        <w:t xml:space="preserve"> </w:t>
      </w:r>
      <w:r w:rsidRPr="00CB7A82">
        <w:rPr>
          <w:rFonts w:ascii="Calibri" w:hAnsi="Calibri"/>
          <w:i/>
          <w:sz w:val="20"/>
          <w:szCs w:val="20"/>
        </w:rPr>
        <w:t>(modificirano prema Reumatizam 2013; 60: 49-51).</w:t>
      </w:r>
    </w:p>
    <w:p w:rsidR="00CA5027" w:rsidRDefault="00CA5027" w:rsidP="001E6367">
      <w:pPr>
        <w:rPr>
          <w:rFonts w:ascii="Calibri" w:hAnsi="Calibri"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69"/>
        <w:gridCol w:w="5919"/>
      </w:tblGrid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rPr>
                <w:rFonts w:ascii="Calibri" w:hAnsi="Calibri"/>
                <w:b/>
                <w:sz w:val="20"/>
                <w:szCs w:val="20"/>
              </w:rPr>
            </w:pPr>
            <w:r w:rsidRPr="00CB7A82">
              <w:rPr>
                <w:rFonts w:ascii="Calibri" w:hAnsi="Calibri"/>
                <w:b/>
                <w:sz w:val="20"/>
                <w:szCs w:val="20"/>
              </w:rPr>
              <w:t xml:space="preserve">Indikacija za primjenu </w:t>
            </w:r>
          </w:p>
        </w:tc>
        <w:tc>
          <w:tcPr>
            <w:tcW w:w="5919" w:type="dxa"/>
          </w:tcPr>
          <w:p w:rsidR="00CA5027" w:rsidRPr="00CB7A82" w:rsidRDefault="00CA5027" w:rsidP="00CA5027">
            <w:pPr>
              <w:keepNext/>
              <w:keepLines/>
              <w:numPr>
                <w:ilvl w:val="0"/>
                <w:numId w:val="19"/>
              </w:num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>Sigurna dijagnoza RA i aktivna bolest:</w:t>
            </w:r>
          </w:p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 xml:space="preserve">DAS28 </w:t>
            </w:r>
            <w:r w:rsidRPr="00CB7A82">
              <w:rPr>
                <w:rFonts w:ascii="Calibri" w:hAnsi="Calibri" w:cs="Arial"/>
                <w:sz w:val="20"/>
                <w:szCs w:val="20"/>
              </w:rPr>
              <w:sym w:font="Symbol" w:char="00B3"/>
            </w:r>
            <w:r w:rsidRPr="00CB7A82">
              <w:rPr>
                <w:rFonts w:ascii="Calibri" w:hAnsi="Calibri" w:cs="Arial"/>
                <w:sz w:val="20"/>
                <w:szCs w:val="20"/>
              </w:rPr>
              <w:t xml:space="preserve"> 5.1 ili DAS28 </w:t>
            </w:r>
            <w:r w:rsidRPr="00CB7A82">
              <w:rPr>
                <w:rFonts w:ascii="Calibri" w:hAnsi="Calibri" w:cs="Arial"/>
                <w:sz w:val="20"/>
                <w:szCs w:val="20"/>
              </w:rPr>
              <w:sym w:font="Symbol" w:char="F0B3"/>
            </w:r>
            <w:r w:rsidRPr="00CB7A82">
              <w:rPr>
                <w:rFonts w:ascii="Calibri" w:hAnsi="Calibri" w:cs="Arial"/>
                <w:sz w:val="20"/>
                <w:szCs w:val="20"/>
              </w:rPr>
              <w:t>3.2 + 6 otečenih zglobova (od 44)</w:t>
            </w:r>
          </w:p>
          <w:p w:rsidR="00CA5027" w:rsidRPr="00CB7A82" w:rsidRDefault="00CA5027" w:rsidP="00CA5027">
            <w:pPr>
              <w:keepNext/>
              <w:keepLines/>
              <w:numPr>
                <w:ilvl w:val="0"/>
                <w:numId w:val="19"/>
              </w:num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Funkcionalni status: </w:t>
            </w:r>
          </w:p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HAQ 0.5-2.5.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Prethodna terapija </w:t>
            </w:r>
          </w:p>
          <w:p w:rsidR="00CA5027" w:rsidRPr="00CB7A82" w:rsidRDefault="00CA5027" w:rsidP="009F7C41">
            <w:pPr>
              <w:keepNext/>
              <w:keepLines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91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Liječenje s najmanje 2 sintetska DMARD-a kroz 6 mjeseci u punoj dozi od kojih je jedan obavezno MTX  primijenjen najmanje kroz 2 mjeseca 20 mg/tjedno (ili zbog nepodnošljivosti u nižoj dozi) ili nakon izostanka učinka jednog TNF blokatora ili tocilizumaba.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>Način primjene, kontraindikacije i mjere opreza</w:t>
            </w:r>
          </w:p>
          <w:p w:rsidR="00CA5027" w:rsidRPr="00CB7A82" w:rsidRDefault="00CA5027" w:rsidP="009F7C41">
            <w:pPr>
              <w:keepNext/>
              <w:keepLines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91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Prema uputi o lijeku, a prije primjene obavezan je probir na hepatitis B i C i latentnu TBC prema preporukama HRD.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Zadani učinak liječenja nakon 12 tjedana primjene </w:t>
            </w:r>
          </w:p>
          <w:p w:rsidR="00CA5027" w:rsidRPr="00CB7A82" w:rsidRDefault="00CA5027" w:rsidP="009F7C41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919" w:type="dxa"/>
          </w:tcPr>
          <w:p w:rsidR="00CA5027" w:rsidRPr="00CB7A82" w:rsidRDefault="00CA5027" w:rsidP="00CA5027">
            <w:pPr>
              <w:keepNext/>
              <w:keepLines/>
              <w:numPr>
                <w:ilvl w:val="0"/>
                <w:numId w:val="20"/>
              </w:num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Ako je liječenje započeto s DAS28 </w:t>
            </w:r>
            <w:r w:rsidRPr="00CB7A82">
              <w:rPr>
                <w:rFonts w:ascii="Calibri" w:hAnsi="Calibri" w:cs="Arial"/>
                <w:b/>
                <w:sz w:val="20"/>
                <w:szCs w:val="20"/>
              </w:rPr>
              <w:sym w:font="Symbol" w:char="F0B3"/>
            </w: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 5.1:</w:t>
            </w:r>
          </w:p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 xml:space="preserve">Pad DAS28 za </w:t>
            </w:r>
            <w:r w:rsidRPr="00CB7A82">
              <w:rPr>
                <w:rFonts w:ascii="Calibri" w:hAnsi="Calibri" w:cs="Arial"/>
                <w:sz w:val="20"/>
                <w:szCs w:val="20"/>
              </w:rPr>
              <w:sym w:font="Symbol" w:char="00B3"/>
            </w:r>
            <w:r w:rsidRPr="00CB7A82">
              <w:rPr>
                <w:rFonts w:ascii="Calibri" w:hAnsi="Calibri" w:cs="Arial"/>
                <w:sz w:val="20"/>
                <w:szCs w:val="20"/>
              </w:rPr>
              <w:t xml:space="preserve"> 1.2 u odnosu na početno stanje ili postignuće DAS28 </w:t>
            </w:r>
            <w:r w:rsidRPr="00CB7A82">
              <w:rPr>
                <w:rFonts w:ascii="Calibri" w:hAnsi="Calibri" w:cs="Arial"/>
                <w:sz w:val="20"/>
                <w:szCs w:val="20"/>
              </w:rPr>
              <w:sym w:font="Symbol" w:char="00A3"/>
            </w:r>
            <w:r w:rsidRPr="00CB7A82">
              <w:rPr>
                <w:rFonts w:ascii="Calibri" w:hAnsi="Calibri" w:cs="Arial"/>
                <w:sz w:val="20"/>
                <w:szCs w:val="20"/>
              </w:rPr>
              <w:t xml:space="preserve"> 3.2.</w:t>
            </w:r>
          </w:p>
          <w:p w:rsidR="00CA5027" w:rsidRPr="00CB7A82" w:rsidRDefault="00CA5027" w:rsidP="00CA5027">
            <w:pPr>
              <w:keepNext/>
              <w:keepLines/>
              <w:numPr>
                <w:ilvl w:val="0"/>
                <w:numId w:val="20"/>
              </w:num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Ako je započeto s DAS28 </w:t>
            </w:r>
            <w:r w:rsidRPr="00CB7A82">
              <w:rPr>
                <w:rFonts w:ascii="Calibri" w:hAnsi="Calibri" w:cs="Arial"/>
                <w:b/>
                <w:sz w:val="20"/>
                <w:szCs w:val="20"/>
              </w:rPr>
              <w:sym w:font="Symbol" w:char="F0B3"/>
            </w: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 3.2 + 6 otečenih zglobova (od 44):</w:t>
            </w:r>
          </w:p>
          <w:p w:rsidR="00CA5027" w:rsidRPr="00CB7A82" w:rsidRDefault="00CA5027" w:rsidP="009F7C41">
            <w:p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 xml:space="preserve">Pad DAS28 za </w:t>
            </w:r>
            <w:r w:rsidRPr="00CB7A82">
              <w:rPr>
                <w:rFonts w:ascii="Calibri" w:hAnsi="Calibri" w:cs="Arial"/>
                <w:sz w:val="20"/>
                <w:szCs w:val="20"/>
              </w:rPr>
              <w:sym w:font="Symbol" w:char="F0B3"/>
            </w:r>
            <w:r w:rsidRPr="00CB7A82">
              <w:rPr>
                <w:rFonts w:ascii="Calibri" w:hAnsi="Calibri" w:cs="Arial"/>
                <w:sz w:val="20"/>
                <w:szCs w:val="20"/>
              </w:rPr>
              <w:t xml:space="preserve">1.2 + 50% manje otečenih zglobova 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 xml:space="preserve">Trajanje liječenja </w:t>
            </w:r>
          </w:p>
          <w:p w:rsidR="00CA5027" w:rsidRPr="00CB7A82" w:rsidRDefault="00CA5027" w:rsidP="009F7C41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919" w:type="dxa"/>
          </w:tcPr>
          <w:p w:rsidR="00CA5027" w:rsidRPr="00CB7A82" w:rsidRDefault="00CA5027" w:rsidP="009F7C41">
            <w:pPr>
              <w:rPr>
                <w:rFonts w:ascii="Calibri" w:hAnsi="Calibri"/>
                <w:sz w:val="20"/>
                <w:szCs w:val="20"/>
                <w:lang w:val="pl-PL"/>
              </w:rPr>
            </w:pPr>
            <w:r w:rsidRPr="00CB7A82">
              <w:rPr>
                <w:rFonts w:ascii="Calibri" w:hAnsi="Calibri"/>
                <w:sz w:val="20"/>
                <w:szCs w:val="20"/>
              </w:rPr>
              <w:t>U</w:t>
            </w:r>
            <w:r w:rsidRPr="00CB7A82">
              <w:rPr>
                <w:rFonts w:ascii="Calibri" w:hAnsi="Calibri"/>
                <w:sz w:val="20"/>
                <w:szCs w:val="20"/>
                <w:lang w:val="pl-PL"/>
              </w:rPr>
              <w:t xml:space="preserve">kupno trajanje liječenja je individualno, a  određuje ga reumatolog u skladu s kliničkim odgovorom i načelima dobre kliničke prakse. 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>Zahtjev za odobrenje liječenja od HZZO-a</w:t>
            </w:r>
          </w:p>
          <w:p w:rsidR="00CA5027" w:rsidRPr="00CB7A82" w:rsidRDefault="00CA5027" w:rsidP="009F7C41">
            <w:pPr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5919" w:type="dxa"/>
          </w:tcPr>
          <w:p w:rsidR="00CA5027" w:rsidRPr="00CB7A82" w:rsidRDefault="00CA5027" w:rsidP="00FC7A33">
            <w:pPr>
              <w:rPr>
                <w:rFonts w:ascii="Calibri" w:hAnsi="Calibri" w:cs="Arial"/>
                <w:sz w:val="20"/>
                <w:szCs w:val="20"/>
                <w:lang w:val="pl-PL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T</w:t>
            </w:r>
            <w:r w:rsidRPr="00CB7A82">
              <w:rPr>
                <w:rFonts w:ascii="Calibri" w:hAnsi="Calibri" w:cs="Arial"/>
                <w:sz w:val="20"/>
                <w:szCs w:val="20"/>
                <w:lang w:val="pl-PL"/>
              </w:rPr>
              <w:t xml:space="preserve">raži reumatolog prvo za period od 3 mjeseca, a kasnije za period od 6 mjeseci i dokumentiranim ishodom kao što je </w:t>
            </w:r>
            <w:r w:rsidR="00FC7A33" w:rsidRPr="00CB7A82">
              <w:rPr>
                <w:rFonts w:ascii="Calibri" w:hAnsi="Calibri" w:cs="Arial"/>
                <w:sz w:val="20"/>
                <w:szCs w:val="20"/>
                <w:lang w:val="pl-PL"/>
              </w:rPr>
              <w:t xml:space="preserve">gore </w:t>
            </w:r>
            <w:r w:rsidRPr="00CB7A82">
              <w:rPr>
                <w:rFonts w:ascii="Calibri" w:hAnsi="Calibri" w:cs="Arial"/>
                <w:sz w:val="20"/>
                <w:szCs w:val="20"/>
                <w:lang w:val="pl-PL"/>
              </w:rPr>
              <w:t>navedeno</w:t>
            </w:r>
            <w:r w:rsidR="00FC7A33" w:rsidRPr="00CB7A82">
              <w:rPr>
                <w:rFonts w:ascii="Calibri" w:hAnsi="Calibri" w:cs="Arial"/>
                <w:sz w:val="20"/>
                <w:szCs w:val="20"/>
                <w:lang w:val="pl-PL"/>
              </w:rPr>
              <w:t>.</w:t>
            </w:r>
          </w:p>
        </w:tc>
      </w:tr>
      <w:tr w:rsidR="00CA5027" w:rsidRPr="00CB7A82" w:rsidTr="009F7C41">
        <w:tc>
          <w:tcPr>
            <w:tcW w:w="3369" w:type="dxa"/>
          </w:tcPr>
          <w:p w:rsidR="00CA5027" w:rsidRPr="00CB7A82" w:rsidRDefault="00CA5027" w:rsidP="009F7C41">
            <w:pPr>
              <w:keepNext/>
              <w:keepLines/>
              <w:rPr>
                <w:rFonts w:ascii="Calibri" w:hAnsi="Calibri" w:cs="Arial"/>
                <w:b/>
                <w:sz w:val="20"/>
                <w:szCs w:val="20"/>
              </w:rPr>
            </w:pPr>
            <w:r w:rsidRPr="00CB7A82">
              <w:rPr>
                <w:rFonts w:ascii="Calibri" w:hAnsi="Calibri" w:cs="Arial"/>
                <w:b/>
                <w:sz w:val="20"/>
                <w:szCs w:val="20"/>
              </w:rPr>
              <w:t>Prekid terapije</w:t>
            </w:r>
          </w:p>
        </w:tc>
        <w:tc>
          <w:tcPr>
            <w:tcW w:w="5919" w:type="dxa"/>
          </w:tcPr>
          <w:p w:rsidR="00FC7A33" w:rsidRPr="00CB7A82" w:rsidRDefault="00CA5027" w:rsidP="00FC7A33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Ozbiljne nuspojave, teška interkurentna infekcija</w:t>
            </w:r>
          </w:p>
          <w:p w:rsidR="00FC7A33" w:rsidRPr="00CB7A82" w:rsidRDefault="00CA5027" w:rsidP="00FC7A33">
            <w:p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(privremeni/trajni prekid), trudnoća</w:t>
            </w:r>
            <w:r w:rsidR="00FC7A33" w:rsidRPr="00CB7A82">
              <w:rPr>
                <w:rFonts w:ascii="Calibri" w:hAnsi="Calibri" w:cs="Arial"/>
                <w:sz w:val="20"/>
                <w:szCs w:val="20"/>
              </w:rPr>
              <w:t>.</w:t>
            </w:r>
          </w:p>
          <w:p w:rsidR="00D353D9" w:rsidRPr="00CB7A82" w:rsidRDefault="00CA5027" w:rsidP="00FC7A33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Kada izostane učinak prvog biološkog lijeka (TNF</w:t>
            </w:r>
          </w:p>
          <w:p w:rsidR="00981D11" w:rsidRPr="00CB7A82" w:rsidRDefault="00CA5027" w:rsidP="00981D11">
            <w:p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 xml:space="preserve">blokator ili tocilizumab) ordinarijus odlučuje o daljnjem odabiru biološkog lijeka (drugi TNF blokator ili tocilizumab ili rituksimab) koji podliježe već spomenutim zahtjevima ishoda. </w:t>
            </w:r>
          </w:p>
          <w:p w:rsidR="00981D11" w:rsidRPr="00CB7A82" w:rsidRDefault="00D353D9" w:rsidP="00981D11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</w:rPr>
              <w:t>P</w:t>
            </w:r>
            <w:r w:rsidR="00981D11" w:rsidRPr="00CB7A82">
              <w:rPr>
                <w:rFonts w:ascii="Calibri" w:hAnsi="Calibri" w:cs="Arial"/>
                <w:sz w:val="20"/>
                <w:szCs w:val="20"/>
              </w:rPr>
              <w:t xml:space="preserve">ostignuće </w:t>
            </w:r>
            <w:r w:rsidR="00981D11" w:rsidRPr="00CB7A82">
              <w:rPr>
                <w:rFonts w:ascii="Calibri" w:hAnsi="Calibri" w:cs="Arial"/>
                <w:sz w:val="20"/>
                <w:szCs w:val="20"/>
                <w:lang w:val="vi-VN"/>
              </w:rPr>
              <w:t>stabiln</w:t>
            </w:r>
            <w:r w:rsidR="00981D11" w:rsidRPr="00CB7A82">
              <w:rPr>
                <w:rFonts w:ascii="Calibri" w:hAnsi="Calibri" w:cs="Arial"/>
                <w:sz w:val="20"/>
                <w:szCs w:val="20"/>
              </w:rPr>
              <w:t>e</w:t>
            </w:r>
            <w:r w:rsidR="00981D11" w:rsidRPr="00CB7A82">
              <w:rPr>
                <w:rFonts w:ascii="Calibri" w:hAnsi="Calibri" w:cs="Arial"/>
                <w:sz w:val="20"/>
                <w:szCs w:val="20"/>
                <w:lang w:val="vi-VN"/>
              </w:rPr>
              <w:t xml:space="preserve"> kliničk</w:t>
            </w:r>
            <w:r w:rsidR="00981D11" w:rsidRPr="00CB7A82">
              <w:rPr>
                <w:rFonts w:ascii="Calibri" w:hAnsi="Calibri" w:cs="Arial"/>
                <w:sz w:val="20"/>
                <w:szCs w:val="20"/>
              </w:rPr>
              <w:t>e</w:t>
            </w:r>
            <w:r w:rsidR="00981D11" w:rsidRPr="00CB7A82">
              <w:rPr>
                <w:rFonts w:ascii="Calibri" w:hAnsi="Calibri" w:cs="Arial"/>
                <w:sz w:val="20"/>
                <w:szCs w:val="20"/>
                <w:lang w:val="vi-VN"/>
              </w:rPr>
              <w:t xml:space="preserve"> remisij</w:t>
            </w:r>
            <w:r w:rsidR="00981D11" w:rsidRPr="00CB7A82">
              <w:rPr>
                <w:rFonts w:ascii="Calibri" w:hAnsi="Calibri" w:cs="Arial"/>
                <w:sz w:val="20"/>
                <w:szCs w:val="20"/>
              </w:rPr>
              <w:t>e</w:t>
            </w:r>
            <w:r w:rsidR="00981D11" w:rsidRPr="00CB7A82">
              <w:rPr>
                <w:rFonts w:ascii="Calibri" w:hAnsi="Calibri" w:cs="Arial"/>
                <w:sz w:val="20"/>
                <w:szCs w:val="20"/>
                <w:lang w:val="vi-VN"/>
              </w:rPr>
              <w:t xml:space="preserve"> u</w:t>
            </w:r>
            <w:r w:rsidR="00981D11" w:rsidRPr="00CB7A82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:rsidR="00CA5027" w:rsidRPr="00CB7A82" w:rsidRDefault="00981D11" w:rsidP="00981D11">
            <w:pPr>
              <w:rPr>
                <w:rFonts w:ascii="Calibri" w:hAnsi="Calibri" w:cs="Arial"/>
                <w:sz w:val="20"/>
                <w:szCs w:val="20"/>
              </w:rPr>
            </w:pPr>
            <w:r w:rsidRPr="00CB7A82">
              <w:rPr>
                <w:rFonts w:ascii="Calibri" w:hAnsi="Calibri" w:cs="Arial"/>
                <w:sz w:val="20"/>
                <w:szCs w:val="20"/>
                <w:lang w:val="vi-VN"/>
              </w:rPr>
              <w:t xml:space="preserve">trajanju od 6 mjeseci (CRP &lt;=1 mg/dL, broj bolnih zglobova/28&lt;=1, </w:t>
            </w:r>
            <w:r w:rsidR="006B24B3" w:rsidRPr="00CB7A82">
              <w:rPr>
                <w:rFonts w:ascii="Calibri" w:hAnsi="Calibri" w:cs="Arial"/>
                <w:sz w:val="20"/>
                <w:szCs w:val="20"/>
                <w:lang w:val="vi-VN"/>
              </w:rPr>
              <w:t>b</w:t>
            </w:r>
            <w:r w:rsidRPr="00CB7A82">
              <w:rPr>
                <w:rFonts w:ascii="Calibri" w:hAnsi="Calibri" w:cs="Arial"/>
                <w:sz w:val="20"/>
                <w:szCs w:val="20"/>
                <w:lang w:val="vi-VN"/>
              </w:rPr>
              <w:t xml:space="preserve">roj otečenih zglobova/28&lt;=1, </w:t>
            </w:r>
            <w:r w:rsidR="006B24B3" w:rsidRPr="00CB7A82">
              <w:rPr>
                <w:rFonts w:ascii="Calibri" w:hAnsi="Calibri" w:cs="Arial"/>
                <w:sz w:val="20"/>
                <w:szCs w:val="20"/>
                <w:lang w:val="vi-VN"/>
              </w:rPr>
              <w:t>bolesnikova ocjena (0-10) &lt;=1) pod uvjetom da kroz to vrijeme nije bilo nikakvih epizoda pogoršanja aktivnosti RA, a obavezno se nastavlja sintetskim lijekovima koji mijenjaju tijek bolesti (DMARD) i koje je bolesnik uzimao uz biološki lijek. U slučaju a</w:t>
            </w:r>
            <w:r w:rsidRPr="00CB7A82">
              <w:rPr>
                <w:rFonts w:ascii="Calibri" w:hAnsi="Calibri" w:cs="Arial"/>
                <w:sz w:val="20"/>
                <w:szCs w:val="20"/>
                <w:lang w:val="vi-VN"/>
              </w:rPr>
              <w:t>psolutnog pogoršanja DAS28 za 1</w:t>
            </w:r>
            <w:r w:rsidRPr="00CB7A82">
              <w:rPr>
                <w:rFonts w:ascii="Calibri" w:hAnsi="Calibri" w:cs="Arial"/>
                <w:sz w:val="20"/>
                <w:szCs w:val="20"/>
              </w:rPr>
              <w:t>.</w:t>
            </w:r>
            <w:r w:rsidR="006B24B3" w:rsidRPr="00CB7A82">
              <w:rPr>
                <w:rFonts w:ascii="Calibri" w:hAnsi="Calibri" w:cs="Arial"/>
                <w:sz w:val="20"/>
                <w:szCs w:val="20"/>
                <w:lang w:val="vi-VN"/>
              </w:rPr>
              <w:t>2 neophodna je reekspozicija biološkom lijeku bez obzira na vrijednost DAS28. Bolesnici koji se biološkom terapijom liječe po monoterapijskom načelu isključeni su iz navedenih kriterija i nastavljaju biološko liječenje.</w:t>
            </w:r>
            <w:r w:rsidR="006B24B3" w:rsidRPr="00CB7A82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</w:tc>
      </w:tr>
      <w:tr w:rsidR="00CA5027" w:rsidRPr="00CB7A82" w:rsidTr="009F7C41">
        <w:tc>
          <w:tcPr>
            <w:tcW w:w="9288" w:type="dxa"/>
            <w:gridSpan w:val="2"/>
          </w:tcPr>
          <w:p w:rsidR="00CA5027" w:rsidRPr="00CB7A82" w:rsidRDefault="008D766B" w:rsidP="00CB7A82">
            <w:pPr>
              <w:rPr>
                <w:rFonts w:ascii="Calibri" w:hAnsi="Calibri" w:cs="Arial"/>
                <w:i/>
                <w:sz w:val="20"/>
                <w:szCs w:val="20"/>
              </w:rPr>
            </w:pPr>
            <w:r w:rsidRPr="00CB7A82">
              <w:rPr>
                <w:rFonts w:asciiTheme="minorHAnsi" w:hAnsiTheme="minorHAnsi" w:cs="Arial"/>
                <w:bCs/>
                <w:i/>
                <w:color w:val="000000" w:themeColor="text1"/>
                <w:sz w:val="20"/>
                <w:szCs w:val="20"/>
              </w:rPr>
              <w:t xml:space="preserve">*Obično se svi biološki lijekovi primjenjuju u kombinaciji s </w:t>
            </w:r>
            <w:r w:rsidR="00CB7A82">
              <w:rPr>
                <w:rFonts w:asciiTheme="minorHAnsi" w:hAnsiTheme="minorHAnsi" w:cs="Arial"/>
                <w:bCs/>
                <w:i/>
                <w:color w:val="000000" w:themeColor="text1"/>
                <w:sz w:val="20"/>
                <w:szCs w:val="20"/>
              </w:rPr>
              <w:t>MTX</w:t>
            </w:r>
            <w:r w:rsidRPr="00CB7A82">
              <w:rPr>
                <w:rFonts w:asciiTheme="minorHAnsi" w:hAnsiTheme="minorHAnsi" w:cs="Arial"/>
                <w:bCs/>
                <w:i/>
                <w:color w:val="000000" w:themeColor="text1"/>
                <w:sz w:val="20"/>
                <w:szCs w:val="20"/>
              </w:rPr>
              <w:t xml:space="preserve"> ili nekim drugim sintetskim DMARD-om, a kada je to potrebno adalimumab, certolizumab, etanercept i tocilizumab mogu se primijeniti po monoterapijskom načelu. </w:t>
            </w:r>
            <w:r w:rsidRPr="00CB7A82">
              <w:rPr>
                <w:rFonts w:asciiTheme="minorHAnsi" w:hAnsiTheme="minorHAnsi"/>
                <w:i/>
                <w:color w:val="000000" w:themeColor="text1"/>
                <w:sz w:val="20"/>
                <w:szCs w:val="20"/>
              </w:rPr>
              <w:t xml:space="preserve">U slučaju potrebe za biološkom monoterapijom postoje klinički dokazi da je </w:t>
            </w:r>
            <w:r w:rsidR="00CB7A82">
              <w:rPr>
                <w:rFonts w:asciiTheme="minorHAnsi" w:hAnsiTheme="minorHAnsi"/>
                <w:i/>
                <w:color w:val="000000" w:themeColor="text1"/>
                <w:sz w:val="20"/>
                <w:szCs w:val="20"/>
              </w:rPr>
              <w:t xml:space="preserve">tada </w:t>
            </w:r>
            <w:r w:rsidRPr="00CB7A82">
              <w:rPr>
                <w:rFonts w:asciiTheme="minorHAnsi" w:hAnsiTheme="minorHAnsi"/>
                <w:i/>
                <w:color w:val="000000" w:themeColor="text1"/>
                <w:sz w:val="20"/>
                <w:szCs w:val="20"/>
              </w:rPr>
              <w:t>tocilizumab lijek prvog izbora.</w:t>
            </w:r>
            <w:r w:rsidRPr="00CB7A82">
              <w:rPr>
                <w:i/>
                <w:sz w:val="20"/>
                <w:szCs w:val="20"/>
              </w:rPr>
              <w:t xml:space="preserve"> </w:t>
            </w:r>
          </w:p>
        </w:tc>
      </w:tr>
    </w:tbl>
    <w:p w:rsidR="00CB7A82" w:rsidRDefault="00CB7A82" w:rsidP="00AE309D">
      <w:pPr>
        <w:rPr>
          <w:rFonts w:ascii="Calibri" w:hAnsi="Calibri"/>
          <w:b/>
          <w:sz w:val="20"/>
          <w:szCs w:val="20"/>
        </w:rPr>
      </w:pPr>
    </w:p>
    <w:p w:rsidR="00CB7A82" w:rsidRDefault="00AE309D" w:rsidP="00AE309D">
      <w:pPr>
        <w:rPr>
          <w:rFonts w:ascii="Calibri" w:hAnsi="Calibri"/>
          <w:b/>
          <w:sz w:val="20"/>
          <w:szCs w:val="20"/>
        </w:rPr>
      </w:pPr>
      <w:r w:rsidRPr="00CB7A82">
        <w:rPr>
          <w:rFonts w:ascii="Calibri" w:hAnsi="Calibri"/>
          <w:b/>
          <w:sz w:val="20"/>
          <w:szCs w:val="20"/>
        </w:rPr>
        <w:t>Ažurirano 24. 01. 2015.</w:t>
      </w:r>
    </w:p>
    <w:p w:rsidR="00CB7A82" w:rsidRPr="00CB7A82" w:rsidRDefault="00CB7A82" w:rsidP="00AE309D">
      <w:pPr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Radna skupina: B. Anić, Đ. Babić-Naglić, S. Grazio, M. Harjaček, T. Kehler, D. Martinović-Kaliterna, J. Morović-Vergles, S. Novak, V. Prus</w:t>
      </w:r>
    </w:p>
    <w:p w:rsidR="00AE309D" w:rsidRPr="004B241E" w:rsidRDefault="00AE309D" w:rsidP="00981D11">
      <w:pPr>
        <w:rPr>
          <w:rFonts w:ascii="Calibri" w:hAnsi="Calibri"/>
        </w:rPr>
      </w:pPr>
    </w:p>
    <w:sectPr w:rsidR="00AE309D" w:rsidRPr="004B241E" w:rsidSect="00443B5A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41D1" w:rsidRDefault="00C441D1">
      <w:r>
        <w:separator/>
      </w:r>
    </w:p>
  </w:endnote>
  <w:endnote w:type="continuationSeparator" w:id="0">
    <w:p w:rsidR="00C441D1" w:rsidRDefault="00C441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41D1" w:rsidRDefault="00C441D1">
      <w:r>
        <w:separator/>
      </w:r>
    </w:p>
  </w:footnote>
  <w:footnote w:type="continuationSeparator" w:id="0">
    <w:p w:rsidR="00C441D1" w:rsidRDefault="00C441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6.25pt;height:93.75pt" o:bullet="t">
        <v:imagedata r:id="rId1" o:title="art13D6"/>
      </v:shape>
    </w:pict>
  </w:numPicBullet>
  <w:abstractNum w:abstractNumId="0">
    <w:nsid w:val="013A319C"/>
    <w:multiLevelType w:val="hybridMultilevel"/>
    <w:tmpl w:val="B5A4D462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95B143D"/>
    <w:multiLevelType w:val="hybridMultilevel"/>
    <w:tmpl w:val="2A5202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4626B"/>
    <w:multiLevelType w:val="hybridMultilevel"/>
    <w:tmpl w:val="C51A190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D36BF1"/>
    <w:multiLevelType w:val="hybridMultilevel"/>
    <w:tmpl w:val="A61289F4"/>
    <w:lvl w:ilvl="0" w:tplc="FC863B68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DEC444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46129E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D054B2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D6CB80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06EAB6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46B8DE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A68CFE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127CD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5035325"/>
    <w:multiLevelType w:val="hybridMultilevel"/>
    <w:tmpl w:val="0DF24856"/>
    <w:lvl w:ilvl="0" w:tplc="041A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5231FD4"/>
    <w:multiLevelType w:val="hybridMultilevel"/>
    <w:tmpl w:val="588C56B6"/>
    <w:lvl w:ilvl="0" w:tplc="D55233E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DF1FC3"/>
    <w:multiLevelType w:val="hybridMultilevel"/>
    <w:tmpl w:val="6500298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735356"/>
    <w:multiLevelType w:val="hybridMultilevel"/>
    <w:tmpl w:val="075EF11C"/>
    <w:lvl w:ilvl="0" w:tplc="3552F92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E900471"/>
    <w:multiLevelType w:val="hybridMultilevel"/>
    <w:tmpl w:val="CBB67D0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4B11C4"/>
    <w:multiLevelType w:val="hybridMultilevel"/>
    <w:tmpl w:val="6B1A650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B9E65D5"/>
    <w:multiLevelType w:val="hybridMultilevel"/>
    <w:tmpl w:val="59825254"/>
    <w:lvl w:ilvl="0" w:tplc="A8F8B3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C7DFF"/>
    <w:multiLevelType w:val="hybridMultilevel"/>
    <w:tmpl w:val="F75E5364"/>
    <w:lvl w:ilvl="0" w:tplc="D4B007E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ADC107E"/>
    <w:multiLevelType w:val="hybridMultilevel"/>
    <w:tmpl w:val="D41A656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B140923"/>
    <w:multiLevelType w:val="hybridMultilevel"/>
    <w:tmpl w:val="8A545824"/>
    <w:lvl w:ilvl="0" w:tplc="DC70767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2CDF4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DD86B7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028E6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B22F4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088147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6C21E1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644D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70DB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>
    <w:nsid w:val="4B91376F"/>
    <w:multiLevelType w:val="hybridMultilevel"/>
    <w:tmpl w:val="9A1E174C"/>
    <w:lvl w:ilvl="0" w:tplc="DDBCEFAC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EFC5107"/>
    <w:multiLevelType w:val="hybridMultilevel"/>
    <w:tmpl w:val="678A8F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2C14F1"/>
    <w:multiLevelType w:val="hybridMultilevel"/>
    <w:tmpl w:val="8F74FB6C"/>
    <w:lvl w:ilvl="0" w:tplc="DA9AF328">
      <w:start w:val="5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7522F65"/>
    <w:multiLevelType w:val="hybridMultilevel"/>
    <w:tmpl w:val="F468EB0A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CE055E9"/>
    <w:multiLevelType w:val="hybridMultilevel"/>
    <w:tmpl w:val="25F0D458"/>
    <w:lvl w:ilvl="0" w:tplc="CAC8D734">
      <w:start w:val="6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6F43DD"/>
    <w:multiLevelType w:val="hybridMultilevel"/>
    <w:tmpl w:val="8C2284D4"/>
    <w:lvl w:ilvl="0" w:tplc="D69A623E">
      <w:start w:val="6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43F1E97"/>
    <w:multiLevelType w:val="hybridMultilevel"/>
    <w:tmpl w:val="D378300E"/>
    <w:lvl w:ilvl="0" w:tplc="176E4D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62C582A"/>
    <w:multiLevelType w:val="hybridMultilevel"/>
    <w:tmpl w:val="66EA808C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EC816AC"/>
    <w:multiLevelType w:val="hybridMultilevel"/>
    <w:tmpl w:val="F664210A"/>
    <w:lvl w:ilvl="0" w:tplc="EFE26F7A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F286320"/>
    <w:multiLevelType w:val="hybridMultilevel"/>
    <w:tmpl w:val="2BD02BCA"/>
    <w:lvl w:ilvl="0" w:tplc="8DDA8BBE">
      <w:start w:val="6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F3B52A3"/>
    <w:multiLevelType w:val="hybridMultilevel"/>
    <w:tmpl w:val="EE18B802"/>
    <w:lvl w:ilvl="0" w:tplc="536A9A56">
      <w:start w:val="5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16"/>
  </w:num>
  <w:num w:numId="3">
    <w:abstractNumId w:val="23"/>
  </w:num>
  <w:num w:numId="4">
    <w:abstractNumId w:val="7"/>
  </w:num>
  <w:num w:numId="5">
    <w:abstractNumId w:val="24"/>
  </w:num>
  <w:num w:numId="6">
    <w:abstractNumId w:val="18"/>
  </w:num>
  <w:num w:numId="7">
    <w:abstractNumId w:val="22"/>
  </w:num>
  <w:num w:numId="8">
    <w:abstractNumId w:val="14"/>
  </w:num>
  <w:num w:numId="9">
    <w:abstractNumId w:val="19"/>
  </w:num>
  <w:num w:numId="10">
    <w:abstractNumId w:val="21"/>
  </w:num>
  <w:num w:numId="11">
    <w:abstractNumId w:val="6"/>
  </w:num>
  <w:num w:numId="12">
    <w:abstractNumId w:val="9"/>
  </w:num>
  <w:num w:numId="13">
    <w:abstractNumId w:val="8"/>
  </w:num>
  <w:num w:numId="14">
    <w:abstractNumId w:val="12"/>
  </w:num>
  <w:num w:numId="15">
    <w:abstractNumId w:val="2"/>
  </w:num>
  <w:num w:numId="16">
    <w:abstractNumId w:val="0"/>
  </w:num>
  <w:num w:numId="17">
    <w:abstractNumId w:val="4"/>
  </w:num>
  <w:num w:numId="18">
    <w:abstractNumId w:val="5"/>
  </w:num>
  <w:num w:numId="19">
    <w:abstractNumId w:val="10"/>
  </w:num>
  <w:num w:numId="20">
    <w:abstractNumId w:val="20"/>
  </w:num>
  <w:num w:numId="21">
    <w:abstractNumId w:val="15"/>
  </w:num>
  <w:num w:numId="22">
    <w:abstractNumId w:val="17"/>
  </w:num>
  <w:num w:numId="23">
    <w:abstractNumId w:val="3"/>
  </w:num>
  <w:num w:numId="24">
    <w:abstractNumId w:val="1"/>
  </w:num>
  <w:num w:numId="25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6E7B"/>
    <w:rsid w:val="00002A6F"/>
    <w:rsid w:val="00056D4A"/>
    <w:rsid w:val="000A1021"/>
    <w:rsid w:val="000E7B7C"/>
    <w:rsid w:val="00153B46"/>
    <w:rsid w:val="001B013D"/>
    <w:rsid w:val="001B29B0"/>
    <w:rsid w:val="001B2B42"/>
    <w:rsid w:val="001D34A6"/>
    <w:rsid w:val="001E6367"/>
    <w:rsid w:val="001F1279"/>
    <w:rsid w:val="00214D19"/>
    <w:rsid w:val="00224265"/>
    <w:rsid w:val="00245DDD"/>
    <w:rsid w:val="00251751"/>
    <w:rsid w:val="0028325C"/>
    <w:rsid w:val="00285427"/>
    <w:rsid w:val="00293AD9"/>
    <w:rsid w:val="00294B38"/>
    <w:rsid w:val="002A24F8"/>
    <w:rsid w:val="002B4F63"/>
    <w:rsid w:val="002E6AF0"/>
    <w:rsid w:val="002F512D"/>
    <w:rsid w:val="00304599"/>
    <w:rsid w:val="00357C48"/>
    <w:rsid w:val="003C56F9"/>
    <w:rsid w:val="003C6031"/>
    <w:rsid w:val="003F269D"/>
    <w:rsid w:val="00443B5A"/>
    <w:rsid w:val="00462C93"/>
    <w:rsid w:val="00471F69"/>
    <w:rsid w:val="00475B71"/>
    <w:rsid w:val="004871AF"/>
    <w:rsid w:val="004B241E"/>
    <w:rsid w:val="004D29D0"/>
    <w:rsid w:val="004F0CF3"/>
    <w:rsid w:val="00534F18"/>
    <w:rsid w:val="0058400A"/>
    <w:rsid w:val="005B6CA7"/>
    <w:rsid w:val="005C40FA"/>
    <w:rsid w:val="005D52A0"/>
    <w:rsid w:val="0060761B"/>
    <w:rsid w:val="006079D3"/>
    <w:rsid w:val="006316E8"/>
    <w:rsid w:val="00654821"/>
    <w:rsid w:val="006908ED"/>
    <w:rsid w:val="00693F88"/>
    <w:rsid w:val="0069771B"/>
    <w:rsid w:val="006B24B3"/>
    <w:rsid w:val="006F3EA0"/>
    <w:rsid w:val="00741E8D"/>
    <w:rsid w:val="00791F42"/>
    <w:rsid w:val="007A71E6"/>
    <w:rsid w:val="007C7414"/>
    <w:rsid w:val="007D1315"/>
    <w:rsid w:val="007F7D2D"/>
    <w:rsid w:val="00805D9F"/>
    <w:rsid w:val="008339D7"/>
    <w:rsid w:val="00837C4A"/>
    <w:rsid w:val="0084739C"/>
    <w:rsid w:val="0088506E"/>
    <w:rsid w:val="008963F8"/>
    <w:rsid w:val="008D766B"/>
    <w:rsid w:val="008E79A4"/>
    <w:rsid w:val="008E7F8E"/>
    <w:rsid w:val="009653BC"/>
    <w:rsid w:val="00967A6D"/>
    <w:rsid w:val="00981D11"/>
    <w:rsid w:val="009B40DF"/>
    <w:rsid w:val="009B6D93"/>
    <w:rsid w:val="009E3A30"/>
    <w:rsid w:val="009E690F"/>
    <w:rsid w:val="009E763B"/>
    <w:rsid w:val="00A0550F"/>
    <w:rsid w:val="00A0567A"/>
    <w:rsid w:val="00A1126B"/>
    <w:rsid w:val="00A3078D"/>
    <w:rsid w:val="00A6416E"/>
    <w:rsid w:val="00AE309D"/>
    <w:rsid w:val="00AE72FE"/>
    <w:rsid w:val="00AF68D6"/>
    <w:rsid w:val="00B059E8"/>
    <w:rsid w:val="00B240CD"/>
    <w:rsid w:val="00B32F79"/>
    <w:rsid w:val="00B50E25"/>
    <w:rsid w:val="00B56E7B"/>
    <w:rsid w:val="00B8592D"/>
    <w:rsid w:val="00B86CDD"/>
    <w:rsid w:val="00BE1C55"/>
    <w:rsid w:val="00C421E5"/>
    <w:rsid w:val="00C441D1"/>
    <w:rsid w:val="00C450EA"/>
    <w:rsid w:val="00CA5027"/>
    <w:rsid w:val="00CB7A82"/>
    <w:rsid w:val="00CE56BE"/>
    <w:rsid w:val="00D06600"/>
    <w:rsid w:val="00D12AE1"/>
    <w:rsid w:val="00D14052"/>
    <w:rsid w:val="00D353D9"/>
    <w:rsid w:val="00D87D58"/>
    <w:rsid w:val="00DA500E"/>
    <w:rsid w:val="00DB470E"/>
    <w:rsid w:val="00DC77D0"/>
    <w:rsid w:val="00DE4220"/>
    <w:rsid w:val="00E21B78"/>
    <w:rsid w:val="00EC56BB"/>
    <w:rsid w:val="00ED7CB7"/>
    <w:rsid w:val="00EE1188"/>
    <w:rsid w:val="00F564CE"/>
    <w:rsid w:val="00F76410"/>
    <w:rsid w:val="00F838DE"/>
    <w:rsid w:val="00F957CA"/>
    <w:rsid w:val="00FB60D4"/>
    <w:rsid w:val="00FC7A33"/>
    <w:rsid w:val="00FD1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2A6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854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Simple1">
    <w:name w:val="Table Simple 1"/>
    <w:basedOn w:val="TableNormal"/>
    <w:rsid w:val="009E690F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0A1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102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C7A3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9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1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4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35290">
          <w:marLeft w:val="1166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1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3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7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84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16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9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0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Biološki lijekovi u reumatologiji za odrasle bolesnike </vt:lpstr>
    </vt:vector>
  </TitlesOfParts>
  <Company>KBC</Company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Biološki lijekovi u reumatologiji za odrasle bolesnike </dc:title>
  <dc:subject/>
  <dc:creator>kbc</dc:creator>
  <cp:keywords/>
  <dc:description/>
  <cp:lastModifiedBy>dbabic</cp:lastModifiedBy>
  <cp:revision>5</cp:revision>
  <dcterms:created xsi:type="dcterms:W3CDTF">2015-01-30T09:27:00Z</dcterms:created>
  <dcterms:modified xsi:type="dcterms:W3CDTF">2015-02-13T09:16:00Z</dcterms:modified>
</cp:coreProperties>
</file>